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mbria" w:cs="Cambria" w:eastAsia="Cambria" w:hAnsi="Cambria"/>
          <w:b/>
          <w:bCs/>
          <w:color w:val="028090"/>
          <w:sz w:val="32"/>
          <w:szCs w:val="32"/>
        </w:rPr>
        <w:t xml:space="preserve">THE ADVICE CLINIC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587875"/>
          <w:sz w:val="20"/>
          <w:szCs w:val="20"/>
        </w:rPr>
        <w:t xml:space="preserve">Slide-by-Slide Teaching Guide</w:t>
      </w: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1  —  THE ADVICE CLINIC (Title)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THE ADVICE CLINIC — Giving advice with SHOULD / SHOULDN'T. TODAY I CAN... Give advice using SHOULD and SHOULDN'T.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Dark background; large teal circle with a clinic “+” icon; objective in a bordered box.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Greet the class; display the objective box and read it aloud.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“Good morning, everyone! Today we're opening a very special place: The Advice Clinic.”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Students settle and read the objective.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0:00–0:30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2  —  MY PROBLEM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“I have an English exam tomorrow. I haven't studied. What can I do?” → You should study tonight. / You shouldn't play video games all night.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Quote card, then a green ✓ box and a red ✗ box appearing side by side.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Read the problem aloud; elicit free ideas before revealing the model sentences.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“I have an exam tomorrow. What should I do? What shouldn't I do?”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Free ideas, then students repeat/notice should and shouldn't.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0:00–3:00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3  —  SPOT THE PATTERN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You SHOULD STUDY tonight. / You SHOULDN'T PLAY video games... → SUBJECT + SHOULD/SHOULDN'T + BASE VERB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Two sentence strips with should/shouldn't + verb highlighted; dark rule banner below.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Pairs discuss the pattern for 1 minute; nominate 2–3 pairs before revealing the rule banner.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“What comes after should? Is the verb form the same?”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“The verb doesn't change” / “no -s”.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3:00–5:00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4  —  DOCTOR, FIX THIS SENTENCE!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“She should studies more.” → “She should study more.”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Red “?” card with the error, then a green ✓ card with the correction.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Show the error first (CCQ); give think time before revealing the fix.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“Is this correct? What should it be?”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“No -s! She should study more.”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5:00–7:00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5  —  PATIENT FILE: LUCAS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Lucas is 14... falls asleep during class. → Why is Lucas tired? What should Lucas do? What shouldn't he do?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Text card + three colour-coded question cards (1 dark, 2 green, 3 red).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Silent read, paired re-read, then ask the three questions in order.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“Why is he tired? What should he do? What shouldn't he do?”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“He's tired because...” / “He should...” / “He shouldn't...”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7:00–11:00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6  —  WELCOME, ADVICE EXPERTS!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1. READ the case  2. DISCUSS with your team  3. GIVE two pieces of advice → They should __. / They shouldn't __.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Dark slide, 3 numbered step cards, sentence-starter banner below.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Form teams of 2–3; hand out one case card per team; model the sentence starters.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“You are Advice Experts working at The Advice Clinic!”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Teams form and take their case card.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11:00–12:30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7  —  TODAY'S CASE FILES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CASE 01 Phone Problem · CASE 02 Shy Student · CASE 03 Healthy Habits (reference — full case set is on the printed cards).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Three case cards in a row, each with a coloured case-number pill and sentence starters.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Circulate while teams work with their printed cards; scaffold quietly, don't front-teach.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“I'll come around to help — use this slide if you need a reminder.”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Teams write two advice sentences per case; one team briefly shares.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12:30–18:00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8  —  SPEAKING CHALLENGE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“Your friend wants to improve their English, but they never practise outside the classroom.” → No notes! For advanced experts: “I think they should __ because __.”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Quote card, a “no notes” reminder line, and a dark extension box for stronger students.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Present orally and on-screen; give 30 seconds' thinking time; take responses without notes.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“New case, no notes this time! What's your advice?”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“They should watch English videos (because...)”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18:00–22:00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9  —  YOUR EXIT TICKET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To improve my English, I should __. / I shouldn't __.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Single dashed-border card styled like a real ticket.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Individual, silent, written task — formative check of the objective.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“Write your own exit ticket about you and your English.”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Two original, correctly-formed should/shouldn't sentences.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22:00–24:00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</w:tblGrid>
      <w:tr>
        <w:tc>
          <w:tcPr>
            <w:shd w:fill="02809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SLIDE 10  —  TODAY I CAN... (Closing)</w:t>
            </w:r>
          </w:p>
        </w:tc>
      </w:tr>
    </w:tbl>
    <w:tbl>
      <w:tblPr>
        <w:tblW w:type="pct" w:w="100%"/>
        <w:tblBorders>
          <w:top w:val="single" w:color="D8E9E7" w:sz="2"/>
          <w:left w:val="single" w:color="D8E9E7" w:sz="2"/>
          <w:bottom w:val="single" w:color="D8E9E7" w:sz="2"/>
          <w:right w:val="single" w:color="D8E9E7" w:sz="2"/>
          <w:insideH w:val="single" w:color="D8E9E7" w:sz="2"/>
          <w:insideV w:val="single" w:color="D8E9E7" w:sz="2"/>
        </w:tblBorders>
      </w:tblPr>
      <w:tblGrid>
        <w:gridCol w:w="100"/>
        <w:gridCol w:w="100"/>
      </w:tblGrid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Student-facing text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TODAY I CAN... Give advice using SHOULD and SHOULDN'T. → OBJECTIVE ACHIEVED. Well done, Advice Experts!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Visual recommendation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Dark slide, mint ✓ icon, objective restated, “OBJECTIVE ACHIEVED” pill.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action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Return to the objective explicitly; ask for a thumbs up/sideways/down self-assessment.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Teacher script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“Thumbs up if you feel confident! You've all worked as real Advice Experts today.”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Expected response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Self-assessment gesture; positive engagement.</w:t>
            </w:r>
          </w:p>
        </w:tc>
      </w:tr>
      <w:tr>
        <w:tc>
          <w:tcPr>
            <w:tcW w:type="pct" w:w="22%"/>
            <w:shd w:fill="E4F5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028090"/>
                <w:sz w:val="16"/>
                <w:szCs w:val="16"/>
              </w:rPr>
              <w:t xml:space="preserve">Timing</w:t>
            </w:r>
          </w:p>
        </w:tc>
        <w:tc>
          <w:tcPr>
            <w:tcW w:type="pct" w:w="78%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Calibri" w:cs="Calibri" w:eastAsia="Calibri" w:hAnsi="Calibri"/>
                <w:color w:val="16302E"/>
                <w:sz w:val="17"/>
                <w:szCs w:val="17"/>
              </w:rPr>
              <w:t xml:space="preserve">24:00–25:00</w:t>
            </w:r>
          </w:p>
        </w:tc>
      </w:tr>
    </w:tbl>
    <w:p>
      <w:pPr>
        <w:spacing w:after="220"/>
      </w:pPr>
    </w:p>
    <w:p>
      <w:pPr>
        <w:spacing w:before="100"/>
        <w:jc w:val="center"/>
      </w:pPr>
      <w:r>
        <w:rPr>
          <w:rFonts w:ascii="Calibri" w:cs="Calibri" w:eastAsia="Calibri" w:hAnsi="Calibri"/>
          <w:color w:val="587875"/>
          <w:sz w:val="14"/>
          <w:szCs w:val="14"/>
        </w:rPr>
        <w:t xml:space="preserve">Prepared by LAET. Jamie Bjørn Valset Nuñez  |  PCU Demo Lesson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2026-08-13T05:28:46.521Z</dcterms:created>
  <dcterms:modified xsi:type="dcterms:W3CDTF">2026-08-13T05:28:46.521Z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