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rPr>
          <w:rFonts w:ascii="Calibri" w:cs="Calibri" w:eastAsia="Calibri" w:hAnsi="Calibri"/>
          <w:b/>
          <w:bCs/>
          <w:color w:val="587875"/>
          <w:sz w:val="16"/>
          <w:szCs w:val="16"/>
        </w:rPr>
        <w:t xml:space="preserve">DEMO LESSON PLAN</w:t>
      </w:r>
    </w:p>
    <w:p>
      <w:pPr>
        <w:spacing w:after="20"/>
        <w:jc w:val="center"/>
      </w:pPr>
      <w:r>
        <w:rPr>
          <w:rFonts w:ascii="Cambria" w:cs="Cambria" w:eastAsia="Cambria" w:hAnsi="Cambria"/>
          <w:b/>
          <w:bCs/>
          <w:color w:val="028090"/>
          <w:sz w:val="26"/>
          <w:szCs w:val="26"/>
        </w:rPr>
        <w:t xml:space="preserve">THE ADVICE CLINIC  |  Giving Advice with SHOULD / SHOULDN'T</w:t>
      </w:r>
    </w:p>
    <w:p>
      <w:pPr>
        <w:spacing w:after="120"/>
        <w:jc w:val="center"/>
      </w:pPr>
      <w:r>
        <w:rPr>
          <w:rFonts w:ascii="Calibri" w:cs="Calibri" w:eastAsia="Calibri" w:hAnsi="Calibri"/>
          <w:i/>
          <w:iCs/>
          <w:color w:val="587875"/>
          <w:sz w:val="15"/>
          <w:szCs w:val="15"/>
        </w:rPr>
        <w:t xml:space="preserve">LAET. Jamie Bjørn Valset Nuñez  •  English Language Teacher</w:t>
      </w:r>
    </w:p>
    <w:tbl>
      <w:tblPr>
        <w:tblW w:type="pct" w:w="100%"/>
        <w:tblBorders>
          <w:top w:val="single" w:color="D8E9E7" w:sz="2"/>
          <w:left w:val="single" w:color="D8E9E7" w:sz="2"/>
          <w:bottom w:val="single" w:color="D8E9E7" w:sz="2"/>
          <w:right w:val="single" w:color="D8E9E7" w:sz="2"/>
          <w:insideH w:val="single" w:color="D8E9E7" w:sz="2"/>
          <w:insideV w:val="single" w:color="D8E9E7" w:sz="2"/>
        </w:tblBorders>
      </w:tblPr>
      <w:tblGrid>
        <w:gridCol w:w="100"/>
        <w:gridCol w:w="100"/>
        <w:gridCol w:w="100"/>
        <w:gridCol w:w="100"/>
        <w:gridCol w:w="100"/>
        <w:gridCol w:w="100"/>
        <w:gridCol w:w="100"/>
        <w:gridCol w:w="100"/>
      </w:tblGrid>
      <w:tr>
        <w:tc>
          <w:tcPr>
            <w:tcW w:type="pct" w:w="10%"/>
            <w:shd w:fill="E4F5F1" w:val="clear"/>
            <w:tcMar>
              <w:top w:type="dxa" w:w="40"/>
              <w:left w:type="dxa" w:w="90"/>
              <w:bottom w:type="dxa" w:w="40"/>
              <w:right w:type="dxa" w:w="90"/>
            </w:tcMar>
            <w:vAlign w:val="top"/>
          </w:tcPr>
          <w:p>
            <w:r>
              <w:rPr>
                <w:rFonts w:ascii="Calibri" w:cs="Calibri" w:eastAsia="Calibri" w:hAnsi="Calibri"/>
                <w:b/>
                <w:bCs/>
                <w:color w:val="028090"/>
                <w:sz w:val="12"/>
                <w:szCs w:val="12"/>
              </w:rPr>
              <w:t xml:space="preserve">LEVEL</w:t>
            </w:r>
          </w:p>
        </w:tc>
        <w:tc>
          <w:tcPr>
            <w:tcW w:type="pct" w:w="22%"/>
            <w:tcMar>
              <w:top w:type="dxa" w:w="40"/>
              <w:left w:type="dxa" w:w="90"/>
              <w:bottom w:type="dxa" w:w="40"/>
              <w:right w:type="dxa" w:w="90"/>
            </w:tcMar>
            <w:vAlign w:val="top"/>
          </w:tcPr>
          <w:p>
            <w:r>
              <w:rPr>
                <w:rFonts w:ascii="Calibri" w:cs="Calibri" w:eastAsia="Calibri" w:hAnsi="Calibri"/>
                <w:color w:val="16302E"/>
                <w:sz w:val="12"/>
                <w:szCs w:val="12"/>
              </w:rPr>
              <w:t xml:space="preserve">Secondary School</w:t>
            </w:r>
          </w:p>
        </w:tc>
        <w:tc>
          <w:tcPr>
            <w:tcW w:type="pct" w:w="8%"/>
            <w:shd w:fill="E4F5F1" w:val="clear"/>
            <w:tcMar>
              <w:top w:type="dxa" w:w="40"/>
              <w:left w:type="dxa" w:w="90"/>
              <w:bottom w:type="dxa" w:w="40"/>
              <w:right w:type="dxa" w:w="90"/>
            </w:tcMar>
            <w:vAlign w:val="top"/>
          </w:tcPr>
          <w:p>
            <w:r>
              <w:rPr>
                <w:rFonts w:ascii="Calibri" w:cs="Calibri" w:eastAsia="Calibri" w:hAnsi="Calibri"/>
                <w:b/>
                <w:bCs/>
                <w:color w:val="028090"/>
                <w:sz w:val="12"/>
                <w:szCs w:val="12"/>
              </w:rPr>
              <w:t xml:space="preserve">CEFR</w:t>
            </w:r>
          </w:p>
        </w:tc>
        <w:tc>
          <w:tcPr>
            <w:tcW w:type="pct" w:w="12%"/>
            <w:tcMar>
              <w:top w:type="dxa" w:w="40"/>
              <w:left w:type="dxa" w:w="90"/>
              <w:bottom w:type="dxa" w:w="40"/>
              <w:right w:type="dxa" w:w="90"/>
            </w:tcMar>
            <w:vAlign w:val="top"/>
          </w:tcPr>
          <w:p>
            <w:r>
              <w:rPr>
                <w:rFonts w:ascii="Calibri" w:cs="Calibri" w:eastAsia="Calibri" w:hAnsi="Calibri"/>
                <w:color w:val="16302E"/>
                <w:sz w:val="12"/>
                <w:szCs w:val="12"/>
              </w:rPr>
              <w:t xml:space="preserve">A2–B1</w:t>
            </w:r>
          </w:p>
        </w:tc>
        <w:tc>
          <w:tcPr>
            <w:tcW w:type="pct" w:w="10%"/>
            <w:shd w:fill="E4F5F1" w:val="clear"/>
            <w:tcMar>
              <w:top w:type="dxa" w:w="40"/>
              <w:left w:type="dxa" w:w="90"/>
              <w:bottom w:type="dxa" w:w="40"/>
              <w:right w:type="dxa" w:w="90"/>
            </w:tcMar>
            <w:vAlign w:val="top"/>
          </w:tcPr>
          <w:p>
            <w:r>
              <w:rPr>
                <w:rFonts w:ascii="Calibri" w:cs="Calibri" w:eastAsia="Calibri" w:hAnsi="Calibri"/>
                <w:b/>
                <w:bCs/>
                <w:color w:val="028090"/>
                <w:sz w:val="12"/>
                <w:szCs w:val="12"/>
              </w:rPr>
              <w:t xml:space="preserve">DURATION</w:t>
            </w:r>
          </w:p>
        </w:tc>
        <w:tc>
          <w:tcPr>
            <w:tcW w:type="pct" w:w="10%"/>
            <w:tcMar>
              <w:top w:type="dxa" w:w="40"/>
              <w:left w:type="dxa" w:w="90"/>
              <w:bottom w:type="dxa" w:w="40"/>
              <w:right w:type="dxa" w:w="90"/>
            </w:tcMar>
            <w:vAlign w:val="top"/>
          </w:tcPr>
          <w:p>
            <w:r>
              <w:rPr>
                <w:rFonts w:ascii="Calibri" w:cs="Calibri" w:eastAsia="Calibri" w:hAnsi="Calibri"/>
                <w:color w:val="16302E"/>
                <w:sz w:val="12"/>
                <w:szCs w:val="12"/>
              </w:rPr>
              <w:t xml:space="preserve">25 min</w:t>
            </w:r>
          </w:p>
        </w:tc>
        <w:tc>
          <w:tcPr>
            <w:tcW w:type="pct" w:w="12%"/>
            <w:shd w:fill="E4F5F1" w:val="clear"/>
            <w:tcMar>
              <w:top w:type="dxa" w:w="40"/>
              <w:left w:type="dxa" w:w="90"/>
              <w:bottom w:type="dxa" w:w="40"/>
              <w:right w:type="dxa" w:w="90"/>
            </w:tcMar>
            <w:vAlign w:val="top"/>
          </w:tcPr>
          <w:p>
            <w:r>
              <w:rPr>
                <w:rFonts w:ascii="Calibri" w:cs="Calibri" w:eastAsia="Calibri" w:hAnsi="Calibri"/>
                <w:b/>
                <w:bCs/>
                <w:color w:val="028090"/>
                <w:sz w:val="12"/>
                <w:szCs w:val="12"/>
              </w:rPr>
              <w:t xml:space="preserve">INSTRUCTION</w:t>
            </w:r>
          </w:p>
        </w:tc>
        <w:tc>
          <w:tcPr>
            <w:tcW w:type="pct" w:w="16%"/>
            <w:tcMar>
              <w:top w:type="dxa" w:w="40"/>
              <w:left w:type="dxa" w:w="90"/>
              <w:bottom w:type="dxa" w:w="40"/>
              <w:right w:type="dxa" w:w="90"/>
            </w:tcMar>
            <w:vAlign w:val="top"/>
          </w:tcPr>
          <w:p>
            <w:r>
              <w:rPr>
                <w:rFonts w:ascii="Calibri" w:cs="Calibri" w:eastAsia="Calibri" w:hAnsi="Calibri"/>
                <w:color w:val="16302E"/>
                <w:sz w:val="12"/>
                <w:szCs w:val="12"/>
              </w:rPr>
              <w:t xml:space="preserve">British English</w:t>
            </w:r>
          </w:p>
        </w:tc>
      </w:tr>
      <w:tr>
        <w:tc>
          <w:tcPr>
            <w:tcW w:type="pct" w:w="10%"/>
            <w:shd w:fill="E4F5F1" w:val="clear"/>
            <w:tcMar>
              <w:top w:type="dxa" w:w="40"/>
              <w:left w:type="dxa" w:w="90"/>
              <w:bottom w:type="dxa" w:w="40"/>
              <w:right w:type="dxa" w:w="90"/>
            </w:tcMar>
            <w:vAlign w:val="top"/>
          </w:tcPr>
          <w:p>
            <w:r>
              <w:rPr>
                <w:rFonts w:ascii="Calibri" w:cs="Calibri" w:eastAsia="Calibri" w:hAnsi="Calibri"/>
                <w:b/>
                <w:bCs/>
                <w:color w:val="028090"/>
                <w:sz w:val="12"/>
                <w:szCs w:val="12"/>
              </w:rPr>
              <w:t xml:space="preserve">SKILLS</w:t>
            </w:r>
          </w:p>
        </w:tc>
        <w:tc>
          <w:tcPr>
            <w:tcW w:type="pct" w:w="22%"/>
            <w:tcMar>
              <w:top w:type="dxa" w:w="40"/>
              <w:left w:type="dxa" w:w="90"/>
              <w:bottom w:type="dxa" w:w="40"/>
              <w:right w:type="dxa" w:w="90"/>
            </w:tcMar>
            <w:vAlign w:val="top"/>
          </w:tcPr>
          <w:p>
            <w:r>
              <w:rPr>
                <w:rFonts w:ascii="Calibri" w:cs="Calibri" w:eastAsia="Calibri" w:hAnsi="Calibri"/>
                <w:color w:val="16302E"/>
                <w:sz w:val="12"/>
                <w:szCs w:val="12"/>
              </w:rPr>
              <w:t xml:space="preserve">Speaking • Reading • Grammar • Listening</w:t>
            </w:r>
          </w:p>
        </w:tc>
        <w:tc>
          <w:tcPr>
            <w:tcW w:type="pct" w:w="10%"/>
            <w:shd w:fill="E4F5F1" w:val="clear"/>
            <w:tcMar>
              <w:top w:type="dxa" w:w="40"/>
              <w:left w:type="dxa" w:w="90"/>
              <w:bottom w:type="dxa" w:w="40"/>
              <w:right w:type="dxa" w:w="90"/>
            </w:tcMar>
            <w:vAlign w:val="top"/>
          </w:tcPr>
          <w:p>
            <w:r>
              <w:rPr>
                <w:rFonts w:ascii="Calibri" w:cs="Calibri" w:eastAsia="Calibri" w:hAnsi="Calibri"/>
                <w:b/>
                <w:bCs/>
                <w:color w:val="028090"/>
                <w:sz w:val="12"/>
                <w:szCs w:val="12"/>
              </w:rPr>
              <w:t xml:space="preserve">APPROACH</w:t>
            </w:r>
          </w:p>
        </w:tc>
        <w:tc>
          <w:tcPr>
            <w:tcW w:type="pct" w:w="58%"/>
            <w:tcMar>
              <w:top w:type="dxa" w:w="40"/>
              <w:left w:type="dxa" w:w="90"/>
              <w:bottom w:type="dxa" w:w="40"/>
              <w:right w:type="dxa" w:w="90"/>
            </w:tcMar>
            <w:vAlign w:val="top"/>
          </w:tcPr>
          <w:p>
            <w:r>
              <w:rPr>
                <w:rFonts w:ascii="Calibri" w:cs="Calibri" w:eastAsia="Calibri" w:hAnsi="Calibri"/>
                <w:color w:val="16302E"/>
                <w:sz w:val="12"/>
                <w:szCs w:val="12"/>
              </w:rPr>
              <w:t xml:space="preserve">CLT • Guided Discovery • Collaborative Learning</w:t>
            </w:r>
          </w:p>
        </w:tc>
      </w:tr>
    </w:tbl>
    <w:p>
      <w:pPr>
        <w:spacing w:after="10" w:before="100"/>
      </w:pPr>
      <w:r>
        <w:rPr>
          <w:rFonts w:ascii="Calibri" w:cs="Calibri" w:eastAsia="Calibri" w:hAnsi="Calibri"/>
          <w:b/>
          <w:bCs/>
          <w:color w:val="028090"/>
          <w:sz w:val="13"/>
          <w:szCs w:val="13"/>
        </w:rPr>
        <w:t xml:space="preserve">LEARNING OBJECTIVE</w:t>
      </w:r>
    </w:p>
    <w:p>
      <w:pPr>
        <w:spacing w:after="40"/>
      </w:pPr>
      <w:r>
        <w:rPr>
          <w:rFonts w:ascii="Calibri" w:cs="Calibri" w:eastAsia="Calibri" w:hAnsi="Calibri"/>
          <w:color w:val="16302E"/>
          <w:sz w:val="13"/>
          <w:szCs w:val="13"/>
        </w:rPr>
        <w:t xml:space="preserve">By the end of the lesson, students will be able to identify everyday problems and give appropriate advice using </w:t>
      </w:r>
      <w:r>
        <w:rPr>
          <w:rFonts w:ascii="Calibri" w:cs="Calibri" w:eastAsia="Calibri" w:hAnsi="Calibri"/>
          <w:b/>
          <w:bCs/>
          <w:color w:val="16302E"/>
          <w:sz w:val="13"/>
          <w:szCs w:val="13"/>
        </w:rPr>
        <w:t xml:space="preserve">should / shouldn't + base verb</w:t>
      </w:r>
    </w:p>
    <w:p>
      <w:pPr>
        <w:spacing w:after="40"/>
      </w:pPr>
      <w:r>
        <w:rPr>
          <w:rFonts w:ascii="Calibri" w:cs="Calibri" w:eastAsia="Calibri" w:hAnsi="Calibri"/>
          <w:b/>
          <w:bCs/>
          <w:color w:val="16302E"/>
          <w:sz w:val="14"/>
          <w:szCs w:val="14"/>
        </w:rPr>
        <w:t xml:space="preserve">TODAY I CAN... give advice using SHOULD and SHOULDN'T.</w:t>
      </w:r>
    </w:p>
    <w:p>
      <w:pPr>
        <w:spacing w:after="20" w:before="80"/>
      </w:pPr>
      <w:r>
        <w:rPr>
          <w:rFonts w:ascii="Calibri" w:cs="Calibri" w:eastAsia="Calibri" w:hAnsi="Calibri"/>
          <w:b/>
          <w:bCs/>
          <w:color w:val="028090"/>
          <w:sz w:val="15"/>
          <w:szCs w:val="15"/>
        </w:rPr>
        <w:t xml:space="preserve">LESSON SEQUENCE</w:t>
      </w:r>
    </w:p>
    <w:tbl>
      <w:tblPr>
        <w:tblW w:type="pct" w:w="100%"/>
        <w:tblBorders>
          <w:top w:val="single" w:color="D8E9E7" w:sz="2"/>
          <w:left w:val="single" w:color="D8E9E7" w:sz="2"/>
          <w:bottom w:val="single" w:color="D8E9E7" w:sz="2"/>
          <w:right w:val="single" w:color="D8E9E7" w:sz="2"/>
          <w:insideH w:val="single" w:color="D8E9E7" w:sz="2"/>
          <w:insideV w:val="single" w:color="D8E9E7" w:sz="2"/>
        </w:tblBorders>
      </w:tblPr>
      <w:tblGrid>
        <w:gridCol w:w="100"/>
        <w:gridCol w:w="100"/>
        <w:gridCol w:w="100"/>
        <w:gridCol w:w="100"/>
        <w:gridCol w:w="100"/>
      </w:tblGrid>
      <w:tr>
        <w:tc>
          <w:tcPr>
            <w:tcW w:type="pct" w:w="6%"/>
            <w:shd w:fill="028090" w:val="clear"/>
            <w:tcMar>
              <w:top w:type="dxa" w:w="40"/>
              <w:left w:type="dxa" w:w="90"/>
              <w:bottom w:type="dxa" w:w="40"/>
              <w:right w:type="dxa" w:w="90"/>
            </w:tcMar>
            <w:vAlign w:val="center"/>
          </w:tcPr>
          <w:p>
            <w:r>
              <w:rPr>
                <w:rFonts w:ascii="Calibri" w:cs="Calibri" w:eastAsia="Calibri" w:hAnsi="Calibri"/>
                <w:b/>
                <w:bCs/>
                <w:color w:val="FFFFFF"/>
                <w:sz w:val="12"/>
                <w:szCs w:val="12"/>
              </w:rPr>
              <w:t xml:space="preserve">TIME</w:t>
            </w:r>
          </w:p>
        </w:tc>
        <w:tc>
          <w:tcPr>
            <w:tcW w:type="pct" w:w="12%"/>
            <w:shd w:fill="028090" w:val="clear"/>
            <w:tcMar>
              <w:top w:type="dxa" w:w="40"/>
              <w:left w:type="dxa" w:w="90"/>
              <w:bottom w:type="dxa" w:w="40"/>
              <w:right w:type="dxa" w:w="90"/>
            </w:tcMar>
            <w:vAlign w:val="center"/>
          </w:tcPr>
          <w:p>
            <w:r>
              <w:rPr>
                <w:rFonts w:ascii="Calibri" w:cs="Calibri" w:eastAsia="Calibri" w:hAnsi="Calibri"/>
                <w:b/>
                <w:bCs/>
                <w:color w:val="FFFFFF"/>
                <w:sz w:val="12"/>
                <w:szCs w:val="12"/>
              </w:rPr>
              <w:t xml:space="preserve">STAGE</w:t>
            </w:r>
          </w:p>
        </w:tc>
        <w:tc>
          <w:tcPr>
            <w:tcW w:type="pct" w:w="46%"/>
            <w:shd w:fill="028090" w:val="clear"/>
            <w:tcMar>
              <w:top w:type="dxa" w:w="40"/>
              <w:left w:type="dxa" w:w="90"/>
              <w:bottom w:type="dxa" w:w="40"/>
              <w:right w:type="dxa" w:w="90"/>
            </w:tcMar>
            <w:vAlign w:val="center"/>
          </w:tcPr>
          <w:p>
            <w:r>
              <w:rPr>
                <w:rFonts w:ascii="Calibri" w:cs="Calibri" w:eastAsia="Calibri" w:hAnsi="Calibri"/>
                <w:b/>
                <w:bCs/>
                <w:color w:val="FFFFFF"/>
                <w:sz w:val="12"/>
                <w:szCs w:val="12"/>
              </w:rPr>
              <w:t xml:space="preserve">TEACHER &amp; LEARNER ACTIVITY</w:t>
            </w:r>
          </w:p>
        </w:tc>
        <w:tc>
          <w:tcPr>
            <w:tcW w:type="pct" w:w="18%"/>
            <w:shd w:fill="028090" w:val="clear"/>
            <w:tcMar>
              <w:top w:type="dxa" w:w="40"/>
              <w:left w:type="dxa" w:w="90"/>
              <w:bottom w:type="dxa" w:w="40"/>
              <w:right w:type="dxa" w:w="90"/>
            </w:tcMar>
            <w:vAlign w:val="center"/>
          </w:tcPr>
          <w:p>
            <w:r>
              <w:rPr>
                <w:rFonts w:ascii="Calibri" w:cs="Calibri" w:eastAsia="Calibri" w:hAnsi="Calibri"/>
                <w:b/>
                <w:bCs/>
                <w:color w:val="FFFFFF"/>
                <w:sz w:val="12"/>
                <w:szCs w:val="12"/>
              </w:rPr>
              <w:t xml:space="preserve">INTEGRATED FOCUS</w:t>
            </w:r>
          </w:p>
        </w:tc>
        <w:tc>
          <w:tcPr>
            <w:tcW w:type="pct" w:w="18%"/>
            <w:shd w:fill="028090" w:val="clear"/>
            <w:tcMar>
              <w:top w:type="dxa" w:w="40"/>
              <w:left w:type="dxa" w:w="90"/>
              <w:bottom w:type="dxa" w:w="40"/>
              <w:right w:type="dxa" w:w="90"/>
            </w:tcMar>
            <w:vAlign w:val="center"/>
          </w:tcPr>
          <w:p>
            <w:r>
              <w:rPr>
                <w:rFonts w:ascii="Calibri" w:cs="Calibri" w:eastAsia="Calibri" w:hAnsi="Calibri"/>
                <w:b/>
                <w:bCs/>
                <w:color w:val="FFFFFF"/>
                <w:sz w:val="12"/>
                <w:szCs w:val="12"/>
              </w:rPr>
              <w:t xml:space="preserve">EVIDENCE</w:t>
            </w:r>
          </w:p>
        </w:tc>
      </w:tr>
      <w:tr>
        <w:tc>
          <w:tcPr>
            <w:tcW w:type="pct" w:w="6%"/>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0–3</w:t>
            </w:r>
          </w:p>
        </w:tc>
        <w:tc>
          <w:tcPr>
            <w:tcW w:type="pct" w:w="12%"/>
            <w:tcMar>
              <w:top w:type="dxa" w:w="40"/>
              <w:left w:type="dxa" w:w="90"/>
              <w:bottom w:type="dxa" w:w="40"/>
              <w:right w:type="dxa" w:w="90"/>
            </w:tcMar>
            <w:vAlign w:val="top"/>
          </w:tcPr>
          <w:p>
            <w:pPr>
              <w:spacing w:after="10"/>
            </w:pPr>
            <w:r>
              <w:rPr>
                <w:rFonts w:ascii="Calibri" w:cs="Calibri" w:eastAsia="Calibri" w:hAnsi="Calibri"/>
                <w:b/>
                <w:bCs/>
                <w:color w:val="16302E"/>
                <w:sz w:val="11"/>
                <w:szCs w:val="11"/>
              </w:rPr>
              <w:t xml:space="preserve">ENGAGE</w:t>
            </w:r>
          </w:p>
          <w:p>
            <w:pPr>
              <w:spacing w:after="10"/>
            </w:pPr>
            <w:r>
              <w:rPr>
                <w:rFonts w:ascii="Calibri" w:cs="Calibri" w:eastAsia="Calibri" w:hAnsi="Calibri"/>
                <w:b w:val="false"/>
                <w:bCs w:val="false"/>
                <w:color w:val="16302E"/>
                <w:sz w:val="11"/>
                <w:szCs w:val="11"/>
              </w:rPr>
              <w:t xml:space="preserve">Hook</w:t>
            </w:r>
          </w:p>
        </w:tc>
        <w:tc>
          <w:tcPr>
            <w:tcW w:type="pct" w:w="46%"/>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“I have an English exam tomorrow. I haven't studied. What can I do?” Elicit ideas; reformulate into “You should study tonight.” Ask what the teacher shouldn't do.</w:t>
            </w:r>
          </w:p>
        </w:tc>
        <w:tc>
          <w:tcPr>
            <w:tcW w:type="pct" w:w="18%"/>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Speaking • elicitation</w:t>
            </w:r>
          </w:p>
        </w:tc>
        <w:tc>
          <w:tcPr>
            <w:tcW w:type="pct" w:w="18%"/>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Baseline responses</w:t>
            </w:r>
          </w:p>
        </w:tc>
      </w:tr>
      <w:tr>
        <w:tc>
          <w:tcPr>
            <w:tcW w:type="pct" w:w="6%"/>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3–7</w:t>
            </w:r>
          </w:p>
        </w:tc>
        <w:tc>
          <w:tcPr>
            <w:tcW w:type="pct" w:w="12%"/>
            <w:shd w:fill="E4F5F1" w:val="clear"/>
            <w:tcMar>
              <w:top w:type="dxa" w:w="40"/>
              <w:left w:type="dxa" w:w="90"/>
              <w:bottom w:type="dxa" w:w="40"/>
              <w:right w:type="dxa" w:w="90"/>
            </w:tcMar>
            <w:vAlign w:val="top"/>
          </w:tcPr>
          <w:p>
            <w:pPr>
              <w:spacing w:after="10"/>
            </w:pPr>
            <w:r>
              <w:rPr>
                <w:rFonts w:ascii="Calibri" w:cs="Calibri" w:eastAsia="Calibri" w:hAnsi="Calibri"/>
                <w:b/>
                <w:bCs/>
                <w:color w:val="16302E"/>
                <w:sz w:val="11"/>
                <w:szCs w:val="11"/>
              </w:rPr>
              <w:t xml:space="preserve">DISCOVER</w:t>
            </w:r>
          </w:p>
          <w:p>
            <w:pPr>
              <w:spacing w:after="10"/>
            </w:pPr>
            <w:r>
              <w:rPr>
                <w:rFonts w:ascii="Calibri" w:cs="Calibri" w:eastAsia="Calibri" w:hAnsi="Calibri"/>
                <w:b w:val="false"/>
                <w:bCs w:val="false"/>
                <w:color w:val="16302E"/>
                <w:sz w:val="11"/>
                <w:szCs w:val="11"/>
              </w:rPr>
              <w:t xml:space="preserve">Grammar</w:t>
            </w:r>
          </w:p>
        </w:tc>
        <w:tc>
          <w:tcPr>
            <w:tcW w:type="pct" w:w="46%"/>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Guide learners to infer SUBJECT + SHOULD / SHOULDN'T + BASE VERB. CCQ: “She should studies more.” Correct or incorrect?</w:t>
            </w:r>
          </w:p>
        </w:tc>
        <w:tc>
          <w:tcPr>
            <w:tcW w:type="pct" w:w="18%"/>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Grammar • listening</w:t>
            </w:r>
          </w:p>
        </w:tc>
        <w:tc>
          <w:tcPr>
            <w:tcW w:type="pct" w:w="18%"/>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Corrects to “should study”</w:t>
            </w:r>
          </w:p>
        </w:tc>
      </w:tr>
      <w:tr>
        <w:tc>
          <w:tcPr>
            <w:tcW w:type="pct" w:w="6%"/>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7–11</w:t>
            </w:r>
          </w:p>
        </w:tc>
        <w:tc>
          <w:tcPr>
            <w:tcW w:type="pct" w:w="12%"/>
            <w:tcMar>
              <w:top w:type="dxa" w:w="40"/>
              <w:left w:type="dxa" w:w="90"/>
              <w:bottom w:type="dxa" w:w="40"/>
              <w:right w:type="dxa" w:w="90"/>
            </w:tcMar>
            <w:vAlign w:val="top"/>
          </w:tcPr>
          <w:p>
            <w:pPr>
              <w:spacing w:after="10"/>
            </w:pPr>
            <w:r>
              <w:rPr>
                <w:rFonts w:ascii="Calibri" w:cs="Calibri" w:eastAsia="Calibri" w:hAnsi="Calibri"/>
                <w:b/>
                <w:bCs/>
                <w:color w:val="16302E"/>
                <w:sz w:val="11"/>
                <w:szCs w:val="11"/>
              </w:rPr>
              <w:t xml:space="preserve">READ</w:t>
            </w:r>
          </w:p>
          <w:p>
            <w:pPr>
              <w:spacing w:after="10"/>
            </w:pPr>
            <w:r>
              <w:rPr>
                <w:rFonts w:ascii="Calibri" w:cs="Calibri" w:eastAsia="Calibri" w:hAnsi="Calibri"/>
                <w:b w:val="false"/>
                <w:bCs w:val="false"/>
                <w:color w:val="16302E"/>
                <w:sz w:val="11"/>
                <w:szCs w:val="11"/>
              </w:rPr>
              <w:t xml:space="preserve">Lucas's Problem</w:t>
            </w:r>
          </w:p>
        </w:tc>
        <w:tc>
          <w:tcPr>
            <w:tcW w:type="pct" w:w="46%"/>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Read the short Lucas text. Ask why he is tired, what he should do and what he shouldn't do.</w:t>
            </w:r>
          </w:p>
        </w:tc>
        <w:tc>
          <w:tcPr>
            <w:tcW w:type="pct" w:w="18%"/>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Reading • speaking</w:t>
            </w:r>
          </w:p>
        </w:tc>
        <w:tc>
          <w:tcPr>
            <w:tcW w:type="pct" w:w="18%"/>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Relevant advice from text</w:t>
            </w:r>
          </w:p>
        </w:tc>
      </w:tr>
      <w:tr>
        <w:tc>
          <w:tcPr>
            <w:tcW w:type="pct" w:w="6%"/>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11–18</w:t>
            </w:r>
          </w:p>
        </w:tc>
        <w:tc>
          <w:tcPr>
            <w:tcW w:type="pct" w:w="12%"/>
            <w:shd w:fill="E4F5F1" w:val="clear"/>
            <w:tcMar>
              <w:top w:type="dxa" w:w="40"/>
              <w:left w:type="dxa" w:w="90"/>
              <w:bottom w:type="dxa" w:w="40"/>
              <w:right w:type="dxa" w:w="90"/>
            </w:tcMar>
            <w:vAlign w:val="top"/>
          </w:tcPr>
          <w:p>
            <w:pPr>
              <w:spacing w:after="10"/>
            </w:pPr>
            <w:r>
              <w:rPr>
                <w:rFonts w:ascii="Calibri" w:cs="Calibri" w:eastAsia="Calibri" w:hAnsi="Calibri"/>
                <w:b/>
                <w:bCs/>
                <w:color w:val="16302E"/>
                <w:sz w:val="11"/>
                <w:szCs w:val="11"/>
              </w:rPr>
              <w:t xml:space="preserve">APPLY</w:t>
            </w:r>
          </w:p>
          <w:p>
            <w:pPr>
              <w:spacing w:after="10"/>
            </w:pPr>
            <w:r>
              <w:rPr>
                <w:rFonts w:ascii="Calibri" w:cs="Calibri" w:eastAsia="Calibri" w:hAnsi="Calibri"/>
                <w:b w:val="false"/>
                <w:bCs w:val="false"/>
                <w:color w:val="16302E"/>
                <w:sz w:val="11"/>
                <w:szCs w:val="11"/>
              </w:rPr>
              <w:t xml:space="preserve">Advice Clinic</w:t>
            </w:r>
          </w:p>
        </w:tc>
        <w:tc>
          <w:tcPr>
            <w:tcW w:type="pct" w:w="46%"/>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Pairs/teams read one confidential case, discuss it and prepare two recommendations: one SHOULD and one SHOULDN'T. Teacher circulates and scaffolds.</w:t>
            </w:r>
          </w:p>
        </w:tc>
        <w:tc>
          <w:tcPr>
            <w:tcW w:type="pct" w:w="18%"/>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Collaboration • critical thinking</w:t>
            </w:r>
          </w:p>
        </w:tc>
        <w:tc>
          <w:tcPr>
            <w:tcW w:type="pct" w:w="18%"/>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Monitored target-language use</w:t>
            </w:r>
          </w:p>
        </w:tc>
      </w:tr>
      <w:tr>
        <w:tc>
          <w:tcPr>
            <w:tcW w:type="pct" w:w="6%"/>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18–22</w:t>
            </w:r>
          </w:p>
        </w:tc>
        <w:tc>
          <w:tcPr>
            <w:tcW w:type="pct" w:w="12%"/>
            <w:tcMar>
              <w:top w:type="dxa" w:w="40"/>
              <w:left w:type="dxa" w:w="90"/>
              <w:bottom w:type="dxa" w:w="40"/>
              <w:right w:type="dxa" w:w="90"/>
            </w:tcMar>
            <w:vAlign w:val="top"/>
          </w:tcPr>
          <w:p>
            <w:pPr>
              <w:spacing w:after="10"/>
            </w:pPr>
            <w:r>
              <w:rPr>
                <w:rFonts w:ascii="Calibri" w:cs="Calibri" w:eastAsia="Calibri" w:hAnsi="Calibri"/>
                <w:b/>
                <w:bCs/>
                <w:color w:val="16302E"/>
                <w:sz w:val="11"/>
                <w:szCs w:val="11"/>
              </w:rPr>
              <w:t xml:space="preserve">SPEAK</w:t>
            </w:r>
          </w:p>
          <w:p>
            <w:pPr>
              <w:spacing w:after="10"/>
            </w:pPr>
            <w:r>
              <w:rPr>
                <w:rFonts w:ascii="Calibri" w:cs="Calibri" w:eastAsia="Calibri" w:hAnsi="Calibri"/>
                <w:b w:val="false"/>
                <w:bCs w:val="false"/>
                <w:color w:val="16302E"/>
                <w:sz w:val="11"/>
                <w:szCs w:val="11"/>
              </w:rPr>
              <w:t xml:space="preserve">Challenge</w:t>
            </w:r>
          </w:p>
        </w:tc>
        <w:tc>
          <w:tcPr>
            <w:tcW w:type="pct" w:w="46%"/>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Unseen task: “Your friend wants to improve their English, but they never practise outside the classroom.” Extension: “I think they should __ because __.”</w:t>
            </w:r>
          </w:p>
        </w:tc>
        <w:tc>
          <w:tcPr>
            <w:tcW w:type="pct" w:w="18%"/>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Speaking • transfer</w:t>
            </w:r>
          </w:p>
        </w:tc>
        <w:tc>
          <w:tcPr>
            <w:tcW w:type="pct" w:w="18%"/>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Independent oral production</w:t>
            </w:r>
          </w:p>
        </w:tc>
      </w:tr>
      <w:tr>
        <w:tc>
          <w:tcPr>
            <w:tcW w:type="pct" w:w="6%"/>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22–25</w:t>
            </w:r>
          </w:p>
        </w:tc>
        <w:tc>
          <w:tcPr>
            <w:tcW w:type="pct" w:w="12%"/>
            <w:shd w:fill="E4F5F1" w:val="clear"/>
            <w:tcMar>
              <w:top w:type="dxa" w:w="40"/>
              <w:left w:type="dxa" w:w="90"/>
              <w:bottom w:type="dxa" w:w="40"/>
              <w:right w:type="dxa" w:w="90"/>
            </w:tcMar>
            <w:vAlign w:val="top"/>
          </w:tcPr>
          <w:p>
            <w:pPr>
              <w:spacing w:after="10"/>
            </w:pPr>
            <w:r>
              <w:rPr>
                <w:rFonts w:ascii="Calibri" w:cs="Calibri" w:eastAsia="Calibri" w:hAnsi="Calibri"/>
                <w:b/>
                <w:bCs/>
                <w:color w:val="16302E"/>
                <w:sz w:val="11"/>
                <w:szCs w:val="11"/>
              </w:rPr>
              <w:t xml:space="preserve">ASSESS</w:t>
            </w:r>
          </w:p>
          <w:p>
            <w:pPr>
              <w:spacing w:after="10"/>
            </w:pPr>
            <w:r>
              <w:rPr>
                <w:rFonts w:ascii="Calibri" w:cs="Calibri" w:eastAsia="Calibri" w:hAnsi="Calibri"/>
                <w:b w:val="false"/>
                <w:bCs w:val="false"/>
                <w:color w:val="16302E"/>
                <w:sz w:val="11"/>
                <w:szCs w:val="11"/>
              </w:rPr>
              <w:t xml:space="preserve">Exit Ticket</w:t>
            </w:r>
          </w:p>
        </w:tc>
        <w:tc>
          <w:tcPr>
            <w:tcW w:type="pct" w:w="46%"/>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Complete: “To improve my English, I should __.” / “I shouldn't __.” Return to TODAY I CAN and close with brief feedback.</w:t>
            </w:r>
          </w:p>
        </w:tc>
        <w:tc>
          <w:tcPr>
            <w:tcW w:type="pct" w:w="18%"/>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Assessment • reflection</w:t>
            </w:r>
          </w:p>
        </w:tc>
        <w:tc>
          <w:tcPr>
            <w:tcW w:type="pct" w:w="18%"/>
            <w:shd w:fill="E4F5F1" w:val="clear"/>
            <w:tcMar>
              <w:top w:type="dxa" w:w="40"/>
              <w:left w:type="dxa" w:w="90"/>
              <w:bottom w:type="dxa" w:w="40"/>
              <w:right w:type="dxa" w:w="90"/>
            </w:tcMar>
            <w:vAlign w:val="top"/>
          </w:tcPr>
          <w:p>
            <w:pPr>
              <w:spacing w:after="10"/>
            </w:pPr>
            <w:r>
              <w:rPr>
                <w:rFonts w:ascii="Calibri" w:cs="Calibri" w:eastAsia="Calibri" w:hAnsi="Calibri"/>
                <w:b w:val="false"/>
                <w:bCs w:val="false"/>
                <w:color w:val="16302E"/>
                <w:sz w:val="11"/>
                <w:szCs w:val="11"/>
              </w:rPr>
              <w:t xml:space="preserve">Immediate evidence of learning</w:t>
            </w:r>
          </w:p>
        </w:tc>
      </w:tr>
    </w:tbl>
    <w:p>
      <w:pPr>
        <w:spacing w:after="20" w:before="80"/>
      </w:pPr>
      <w:r>
        <w:rPr>
          <w:rFonts w:ascii="Calibri" w:cs="Calibri" w:eastAsia="Calibri" w:hAnsi="Calibri"/>
          <w:b/>
          <w:bCs/>
          <w:color w:val="028090"/>
          <w:sz w:val="15"/>
          <w:szCs w:val="15"/>
        </w:rPr>
        <w:t xml:space="preserve">SUPPORTING NOTES FOR OBSERVERS</w:t>
      </w:r>
    </w:p>
    <w:tbl>
      <w:tblPr>
        <w:tblW w:type="pct" w:w="100%"/>
        <w:tblBorders>
          <w:top w:val="single" w:color="D8E9E7" w:sz="2"/>
          <w:left w:val="single" w:color="D8E9E7" w:sz="2"/>
          <w:bottom w:val="single" w:color="D8E9E7" w:sz="2"/>
          <w:right w:val="single" w:color="D8E9E7" w:sz="2"/>
          <w:insideH w:val="single" w:color="D8E9E7" w:sz="2"/>
          <w:insideV w:val="single" w:color="D8E9E7" w:sz="2"/>
        </w:tblBorders>
      </w:tblPr>
      <w:tblGrid>
        <w:gridCol w:w="100"/>
        <w:gridCol w:w="100"/>
      </w:tblGrid>
      <w:tr>
        <w:tc>
          <w:tcPr>
            <w:tcW w:type="pct" w:w="50%"/>
            <w:tcMar>
              <w:top w:type="dxa" w:w="60"/>
              <w:left w:type="dxa" w:w="100"/>
              <w:bottom w:type="dxa" w:w="60"/>
              <w:right w:type="dxa" w:w="120"/>
            </w:tcMar>
            <w:vAlign w:val="top"/>
          </w:tcPr>
          <w:p>
            <w:pPr>
              <w:spacing w:after="10" w:before="60"/>
            </w:pPr>
            <w:r>
              <w:rPr>
                <w:rFonts w:ascii="Calibri" w:cs="Calibri" w:eastAsia="Calibri" w:hAnsi="Calibri"/>
                <w:b/>
                <w:bCs/>
                <w:color w:val="028090"/>
                <w:sz w:val="12"/>
                <w:szCs w:val="12"/>
              </w:rPr>
              <w:t xml:space="preserve">TARGET LANGUAGE</w:t>
            </w:r>
          </w:p>
          <w:p>
            <w:pPr>
              <w:spacing w:after="40"/>
            </w:pPr>
            <w:r>
              <w:rPr>
                <w:rFonts w:ascii="Calibri" w:cs="Calibri" w:eastAsia="Calibri" w:hAnsi="Calibri"/>
                <w:color w:val="16302E"/>
                <w:sz w:val="11"/>
                <w:szCs w:val="11"/>
              </w:rPr>
              <w:t xml:space="preserve">Function: giving advice about everyday problems.</w:t>
            </w:r>
          </w:p>
          <w:p>
            <w:pPr>
              <w:spacing w:after="40"/>
            </w:pPr>
            <w:r>
              <w:rPr>
                <w:rFonts w:ascii="Calibri" w:cs="Calibri" w:eastAsia="Calibri" w:hAnsi="Calibri"/>
                <w:color w:val="16302E"/>
                <w:sz w:val="11"/>
                <w:szCs w:val="11"/>
              </w:rPr>
              <w:t xml:space="preserve">Affirmative: Subject + should + base verb → You should study tonight.</w:t>
            </w:r>
          </w:p>
          <w:p>
            <w:pPr>
              <w:spacing w:after="40"/>
            </w:pPr>
            <w:r>
              <w:rPr>
                <w:rFonts w:ascii="Calibri" w:cs="Calibri" w:eastAsia="Calibri" w:hAnsi="Calibri"/>
                <w:color w:val="16302E"/>
                <w:sz w:val="11"/>
                <w:szCs w:val="11"/>
              </w:rPr>
              <w:t xml:space="preserve">Negative: Subject + shouldn't + base verb → You shouldn't stay up late.</w:t>
            </w:r>
          </w:p>
          <w:p>
            <w:pPr>
              <w:spacing w:after="40"/>
            </w:pPr>
            <w:r>
              <w:rPr>
                <w:rFonts w:ascii="Calibri" w:cs="Calibri" w:eastAsia="Calibri" w:hAnsi="Calibri"/>
                <w:color w:val="16302E"/>
                <w:sz w:val="11"/>
                <w:szCs w:val="11"/>
              </w:rPr>
              <w:t xml:space="preserve">Key check: after should / shouldn't, use the base form of the verb.</w:t>
            </w:r>
          </w:p>
          <w:p>
            <w:pPr>
              <w:spacing w:after="10" w:before="60"/>
            </w:pPr>
            <w:r>
              <w:rPr>
                <w:rFonts w:ascii="Calibri" w:cs="Calibri" w:eastAsia="Calibri" w:hAnsi="Calibri"/>
                <w:b/>
                <w:bCs/>
                <w:color w:val="028090"/>
                <w:sz w:val="12"/>
                <w:szCs w:val="12"/>
              </w:rPr>
              <w:t xml:space="preserve">READING INPUT — LUCAS'S PROBLEM</w:t>
            </w:r>
          </w:p>
          <w:p>
            <w:pPr>
              <w:spacing w:after="40"/>
            </w:pPr>
            <w:r>
              <w:rPr>
                <w:rFonts w:ascii="Calibri" w:cs="Calibri" w:eastAsia="Calibri" w:hAnsi="Calibri"/>
                <w:color w:val="16302E"/>
                <w:sz w:val="11"/>
                <w:szCs w:val="11"/>
              </w:rPr>
              <w:t xml:space="preserve">Lucas is 14 years old. He loves playing video games and usually goes to bed after midnight. He has an English exam tomorrow, but he hasn't studied yet. He feels tired every morning and sometimes falls asleep during class.</w:t>
            </w:r>
          </w:p>
          <w:p>
            <w:pPr>
              <w:spacing w:after="40"/>
            </w:pPr>
            <w:r>
              <w:rPr>
                <w:rFonts w:ascii="Calibri" w:cs="Calibri" w:eastAsia="Calibri" w:hAnsi="Calibri"/>
                <w:color w:val="16302E"/>
                <w:sz w:val="11"/>
                <w:szCs w:val="11"/>
              </w:rPr>
              <w:t xml:space="preserve">Prompts: Why is Lucas tired? • What should Lucas do? • What shouldn't he do?</w:t>
            </w:r>
          </w:p>
          <w:p>
            <w:pPr>
              <w:spacing w:after="10" w:before="60"/>
            </w:pPr>
            <w:r>
              <w:rPr>
                <w:rFonts w:ascii="Calibri" w:cs="Calibri" w:eastAsia="Calibri" w:hAnsi="Calibri"/>
                <w:b/>
                <w:bCs/>
                <w:color w:val="028090"/>
                <w:sz w:val="12"/>
                <w:szCs w:val="12"/>
              </w:rPr>
              <w:t xml:space="preserve">THE ADVICE CLINIC — SAMPLE CASES</w:t>
            </w:r>
          </w:p>
          <w:p>
            <w:pPr>
              <w:spacing w:after="40"/>
            </w:pPr>
            <w:r>
              <w:rPr>
                <w:rFonts w:ascii="Calibri" w:cs="Calibri" w:eastAsia="Calibri" w:hAnsi="Calibri"/>
                <w:color w:val="16302E"/>
                <w:sz w:val="11"/>
                <w:szCs w:val="11"/>
              </w:rPr>
              <w:t xml:space="preserve">CASE 01 — PHONE PROBLEM: Emma spends five hours a day on social media. She never finishes her homework. → They should ______. / They shouldn't ______.</w:t>
            </w:r>
          </w:p>
          <w:p>
            <w:pPr>
              <w:spacing w:after="40"/>
            </w:pPr>
            <w:r>
              <w:rPr>
                <w:rFonts w:ascii="Calibri" w:cs="Calibri" w:eastAsia="Calibri" w:hAnsi="Calibri"/>
                <w:color w:val="16302E"/>
                <w:sz w:val="11"/>
                <w:szCs w:val="11"/>
              </w:rPr>
              <w:t xml:space="preserve">CASE 02 — SHY STUDENT: Alex understands English but is afraid of speaking because he doesn't want to make mistakes. → They should ______. / They shouldn't ______.</w:t>
            </w:r>
          </w:p>
          <w:p>
            <w:pPr>
              <w:spacing w:after="40"/>
            </w:pPr>
            <w:r>
              <w:rPr>
                <w:rFonts w:ascii="Calibri" w:cs="Calibri" w:eastAsia="Calibri" w:hAnsi="Calibri"/>
                <w:color w:val="16302E"/>
                <w:sz w:val="11"/>
                <w:szCs w:val="11"/>
              </w:rPr>
              <w:t xml:space="preserve">CASE 03 — HEALTHY HABITS: Sam sleeps only five hours every night and feels tired at school. → They should ______. / They shouldn't ______.</w:t>
            </w:r>
          </w:p>
        </w:tc>
        <w:tc>
          <w:tcPr>
            <w:tcW w:type="pct" w:w="50%"/>
            <w:tcMar>
              <w:top w:type="dxa" w:w="60"/>
              <w:left w:type="dxa" w:w="120"/>
              <w:bottom w:type="dxa" w:w="60"/>
              <w:right w:type="dxa" w:w="100"/>
            </w:tcMar>
            <w:vAlign w:val="top"/>
          </w:tcPr>
          <w:p>
            <w:pPr>
              <w:spacing w:after="10" w:before="60"/>
            </w:pPr>
            <w:r>
              <w:rPr>
                <w:rFonts w:ascii="Calibri" w:cs="Calibri" w:eastAsia="Calibri" w:hAnsi="Calibri"/>
                <w:b/>
                <w:bCs/>
                <w:color w:val="028090"/>
                <w:sz w:val="12"/>
                <w:szCs w:val="12"/>
              </w:rPr>
              <w:t xml:space="preserve">DIFFERENTIATION &amp; INCLUSIVE PRACTICE</w:t>
            </w:r>
          </w:p>
          <w:p>
            <w:pPr>
              <w:spacing w:after="20"/>
            </w:pPr>
            <w:r>
              <w:rPr>
                <w:rFonts w:ascii="Calibri" w:cs="Calibri" w:eastAsia="Calibri" w:hAnsi="Calibri"/>
                <w:color w:val="16302E"/>
                <w:sz w:val="11"/>
                <w:szCs w:val="11"/>
              </w:rPr>
              <w:t xml:space="preserve">• Present instructions orally and visually; keep directions short, sequenced and predictable.</w:t>
            </w:r>
          </w:p>
          <w:p>
            <w:pPr>
              <w:spacing w:after="20"/>
            </w:pPr>
            <w:r>
              <w:rPr>
                <w:rFonts w:ascii="Calibri" w:cs="Calibri" w:eastAsia="Calibri" w:hAnsi="Calibri"/>
                <w:color w:val="16302E"/>
                <w:sz w:val="11"/>
                <w:szCs w:val="11"/>
              </w:rPr>
              <w:t xml:space="preserve">• Model one complete example before collaborative work.</w:t>
            </w:r>
          </w:p>
          <w:p>
            <w:pPr>
              <w:spacing w:after="20"/>
            </w:pPr>
            <w:r>
              <w:rPr>
                <w:rFonts w:ascii="Calibri" w:cs="Calibri" w:eastAsia="Calibri" w:hAnsi="Calibri"/>
                <w:color w:val="16302E"/>
                <w:sz w:val="11"/>
                <w:szCs w:val="11"/>
              </w:rPr>
              <w:t xml:space="preserve">• Provide sentence starters: “They should __.” / “They shouldn't __.”</w:t>
            </w:r>
          </w:p>
          <w:p>
            <w:pPr>
              <w:spacing w:after="20"/>
            </w:pPr>
            <w:r>
              <w:rPr>
                <w:rFonts w:ascii="Calibri" w:cs="Calibri" w:eastAsia="Calibri" w:hAnsi="Calibri"/>
                <w:color w:val="16302E"/>
                <w:sz w:val="11"/>
                <w:szCs w:val="11"/>
              </w:rPr>
              <w:t xml:space="preserve">• Extension: “I think they should __ because __.”</w:t>
            </w:r>
          </w:p>
          <w:p>
            <w:pPr>
              <w:spacing w:after="20"/>
            </w:pPr>
            <w:r>
              <w:rPr>
                <w:rFonts w:ascii="Calibri" w:cs="Calibri" w:eastAsia="Calibri" w:hAnsi="Calibri"/>
                <w:color w:val="16302E"/>
                <w:sz w:val="11"/>
                <w:szCs w:val="11"/>
              </w:rPr>
              <w:t xml:space="preserve">• Allow brief pair rehearsal before public speaking; do not single out learners who require additional support.</w:t>
            </w:r>
          </w:p>
          <w:p>
            <w:pPr>
              <w:spacing w:after="20"/>
            </w:pPr>
            <w:r>
              <w:rPr>
                <w:rFonts w:ascii="Calibri" w:cs="Calibri" w:eastAsia="Calibri" w:hAnsi="Calibri"/>
                <w:color w:val="16302E"/>
                <w:sz w:val="11"/>
                <w:szCs w:val="11"/>
              </w:rPr>
              <w:t xml:space="preserve">• Use a visible timer and clear transitions to support attention and task completion.</w:t>
            </w:r>
          </w:p>
          <w:p>
            <w:pPr>
              <w:spacing w:after="10" w:before="60"/>
            </w:pPr>
            <w:r>
              <w:rPr>
                <w:rFonts w:ascii="Calibri" w:cs="Calibri" w:eastAsia="Calibri" w:hAnsi="Calibri"/>
                <w:b/>
                <w:bCs/>
                <w:color w:val="028090"/>
                <w:sz w:val="12"/>
                <w:szCs w:val="12"/>
              </w:rPr>
              <w:t xml:space="preserve">MATERIALS &amp; CONTINGENCY</w:t>
            </w:r>
          </w:p>
          <w:p>
            <w:pPr>
              <w:spacing w:after="40"/>
            </w:pPr>
            <w:r>
              <w:rPr>
                <w:rFonts w:ascii="Calibri" w:cs="Calibri" w:eastAsia="Calibri" w:hAnsi="Calibri"/>
                <w:color w:val="16302E"/>
                <w:sz w:val="11"/>
                <w:szCs w:val="11"/>
              </w:rPr>
              <w:t xml:space="preserve">Planned: projected slides, printed Advice Clinic cards, whiteboard/markers, laptop/adaptor and an offline copy of the presentation.</w:t>
            </w:r>
          </w:p>
          <w:p>
            <w:pPr>
              <w:spacing w:after="40"/>
            </w:pPr>
            <w:r>
              <w:rPr>
                <w:rFonts w:ascii="Calibri" w:cs="Calibri" w:eastAsia="Calibri" w:hAnsi="Calibri"/>
                <w:color w:val="16302E"/>
                <w:sz w:val="11"/>
                <w:szCs w:val="11"/>
              </w:rPr>
              <w:t xml:space="preserve">Plan B: the lesson can be delivered entirely with the board and printed case cards. Technology supports the lesson but is not required.</w:t>
            </w:r>
          </w:p>
          <w:p>
            <w:pPr>
              <w:spacing w:after="10" w:before="60"/>
            </w:pPr>
            <w:r>
              <w:rPr>
                <w:rFonts w:ascii="Calibri" w:cs="Calibri" w:eastAsia="Calibri" w:hAnsi="Calibri"/>
                <w:b/>
                <w:bCs/>
                <w:color w:val="028090"/>
                <w:sz w:val="12"/>
                <w:szCs w:val="12"/>
              </w:rPr>
              <w:t xml:space="preserve">ASSESSMENT &amp; EVIDENCE</w:t>
            </w:r>
          </w:p>
          <w:p>
            <w:pPr>
              <w:spacing w:after="40"/>
            </w:pPr>
            <w:r>
              <w:rPr>
                <w:rFonts w:ascii="Calibri" w:cs="Calibri" w:eastAsia="Calibri" w:hAnsi="Calibri"/>
                <w:color w:val="16302E"/>
                <w:sz w:val="11"/>
                <w:szCs w:val="11"/>
              </w:rPr>
              <w:t xml:space="preserve">Evidence is collected through elicited responses, the grammar CCQ, reading comprehension, monitored case discussions, the unseen speaking challenge and the exit ticket. Success is demonstrated when learners independently produce contextually appropriate advice using should / shouldn't + base verb.</w:t>
            </w:r>
          </w:p>
          <w:p>
            <w:pPr>
              <w:spacing w:after="10" w:before="60"/>
            </w:pPr>
            <w:r>
              <w:rPr>
                <w:rFonts w:ascii="Calibri" w:cs="Calibri" w:eastAsia="Calibri" w:hAnsi="Calibri"/>
                <w:b/>
                <w:bCs/>
                <w:color w:val="028090"/>
                <w:sz w:val="12"/>
                <w:szCs w:val="12"/>
              </w:rPr>
              <w:t xml:space="preserve">PEDAGOGICAL RATIONALE</w:t>
            </w:r>
          </w:p>
          <w:p>
            <w:pPr>
              <w:spacing w:after="40"/>
            </w:pPr>
            <w:r>
              <w:rPr>
                <w:rFonts w:ascii="Calibri" w:cs="Calibri" w:eastAsia="Calibri" w:hAnsi="Calibri"/>
                <w:color w:val="16302E"/>
                <w:sz w:val="11"/>
                <w:szCs w:val="11"/>
              </w:rPr>
              <w:t xml:space="preserve">The target structure was deliberately selected because it is accessible enough for a 25-minute demonstration to prioritise student use of English rather than extended teacher explanation. The sequence moves from context and guided discovery to supported practice, collaboration, transfer and individual evidence of learning, integrating multiple skills around one measurable objective.</w:t>
            </w:r>
          </w:p>
          <w:p>
            <w:pPr>
              <w:spacing w:after="10" w:before="60"/>
            </w:pPr>
            <w:r>
              <w:rPr>
                <w:rFonts w:ascii="Calibri" w:cs="Calibri" w:eastAsia="Calibri" w:hAnsi="Calibri"/>
                <w:b/>
                <w:bCs/>
                <w:color w:val="028090"/>
                <w:sz w:val="12"/>
                <w:szCs w:val="12"/>
              </w:rPr>
              <w:t xml:space="preserve">OBSERVATION FOCUS</w:t>
            </w:r>
          </w:p>
          <w:p>
            <w:pPr>
              <w:spacing w:after="40"/>
            </w:pPr>
            <w:r>
              <w:rPr>
                <w:rFonts w:ascii="Calibri" w:cs="Calibri" w:eastAsia="Calibri" w:hAnsi="Calibri"/>
                <w:color w:val="16302E"/>
                <w:sz w:val="11"/>
                <w:szCs w:val="11"/>
              </w:rPr>
              <w:t xml:space="preserve">The demonstration is designed to evidence classroom communication, purposeful questioning, guided discovery, learner participation, monitoring, differentiation, formative assessment and a clear link between objective, task and evidence of learning.</w:t>
            </w:r>
          </w:p>
        </w:tc>
      </w:tr>
    </w:tbl>
    <w:p>
      <w:pPr>
        <w:spacing w:before="120"/>
        <w:jc w:val="center"/>
      </w:pPr>
      <w:r>
        <w:rPr>
          <w:rFonts w:ascii="Calibri" w:cs="Calibri" w:eastAsia="Calibri" w:hAnsi="Calibri"/>
          <w:color w:val="5A5A5A"/>
          <w:sz w:val="14"/>
          <w:szCs w:val="14"/>
        </w:rPr>
        <w:t xml:space="preserve">Prepared by LAET. Jamie Bjørn Valset Nuñez  |  PCU Demo Lesson</w:t>
      </w:r>
    </w:p>
    <w:sectPr>
      <w:pgSz w:w="11909" w:h="16834" w:orient="landscape"/>
      <w:pgMar w:top="400" w:right="500" w:bottom="300" w:left="5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2026-08-13T05:28:25.372Z</dcterms:created>
  <dcterms:modified xsi:type="dcterms:W3CDTF">2026-08-13T05:28:25.387Z</dcterms:modified>
</cp:coreProperties>
</file>

<file path=docProps/custom.xml><?xml version="1.0" encoding="utf-8"?>
<Properties xmlns="http://schemas.openxmlformats.org/officeDocument/2006/custom-properties" xmlns:vt="http://schemas.openxmlformats.org/officeDocument/2006/docPropsVTypes"/>
</file>